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1B" w:rsidRDefault="00436E1B"/>
    <w:tbl>
      <w:tblPr>
        <w:tblW w:w="14850" w:type="dxa"/>
        <w:tblInd w:w="-106" w:type="dxa"/>
        <w:tblLook w:val="00A0"/>
      </w:tblPr>
      <w:tblGrid>
        <w:gridCol w:w="1526"/>
        <w:gridCol w:w="1843"/>
        <w:gridCol w:w="11481"/>
      </w:tblGrid>
      <w:tr w:rsidR="00436E1B" w:rsidRPr="00C37593">
        <w:tc>
          <w:tcPr>
            <w:tcW w:w="1526" w:type="dxa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37593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alt="Kiew-city-COA" style="width:39pt;height:43.5pt;visibility:visible">
                  <v:imagedata r:id="rId6" o:title=""/>
                </v:shape>
              </w:pict>
            </w:r>
          </w:p>
        </w:tc>
        <w:tc>
          <w:tcPr>
            <w:tcW w:w="1843" w:type="dxa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37593">
              <w:rPr>
                <w:noProof/>
                <w:lang w:val="en-US"/>
              </w:rPr>
              <w:pict>
                <v:shape id="Picture 2" o:spid="_x0000_i1026" type="#_x0000_t75" style="width:79.5pt;height:42pt;visibility:visible">
                  <v:imagedata r:id="rId7" o:title=""/>
                </v:shape>
              </w:pict>
            </w:r>
          </w:p>
        </w:tc>
        <w:tc>
          <w:tcPr>
            <w:tcW w:w="11481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7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ЦІЛЬОВІ ПОКАЗНИКИ СТРАТЕГІЇ РОЗВИТКУ МІСТА КИЄВА ДО 2025 РОКУ </w:t>
            </w:r>
            <w:r w:rsidRPr="00C375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br/>
            </w:r>
          </w:p>
        </w:tc>
      </w:tr>
    </w:tbl>
    <w:p w:rsidR="00436E1B" w:rsidRPr="00421F66" w:rsidRDefault="00436E1B" w:rsidP="00692A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126"/>
        <w:gridCol w:w="5528"/>
        <w:gridCol w:w="2153"/>
        <w:gridCol w:w="2300"/>
        <w:gridCol w:w="1359"/>
        <w:gridCol w:w="1302"/>
      </w:tblGrid>
      <w:tr w:rsidR="00436E1B" w:rsidRPr="00C37593">
        <w:trPr>
          <w:tblHeader/>
        </w:trPr>
        <w:tc>
          <w:tcPr>
            <w:tcW w:w="534" w:type="dxa"/>
            <w:shd w:val="clear" w:color="auto" w:fill="C6D9F1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  <w:t>№ п/п</w:t>
            </w:r>
          </w:p>
        </w:tc>
        <w:tc>
          <w:tcPr>
            <w:tcW w:w="2126" w:type="dxa"/>
            <w:shd w:val="clear" w:color="auto" w:fill="C6D9F1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  <w:t>Напрям</w:t>
            </w:r>
          </w:p>
        </w:tc>
        <w:tc>
          <w:tcPr>
            <w:tcW w:w="5528" w:type="dxa"/>
            <w:shd w:val="clear" w:color="auto" w:fill="C6D9F1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  <w:t>Індикатор</w:t>
            </w:r>
          </w:p>
        </w:tc>
        <w:tc>
          <w:tcPr>
            <w:tcW w:w="2153" w:type="dxa"/>
            <w:shd w:val="clear" w:color="auto" w:fill="C6D9F1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  <w:t>Одиниці виміру</w:t>
            </w:r>
          </w:p>
        </w:tc>
        <w:tc>
          <w:tcPr>
            <w:tcW w:w="2300" w:type="dxa"/>
            <w:shd w:val="clear" w:color="auto" w:fill="C6D9F1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  <w:t>Цільове значення</w:t>
            </w:r>
            <w:r w:rsidRPr="00C37593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 xml:space="preserve"> </w:t>
            </w:r>
            <w:r w:rsidRPr="00C37593"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  <w:t xml:space="preserve">на 2015 рік* </w:t>
            </w:r>
          </w:p>
        </w:tc>
        <w:tc>
          <w:tcPr>
            <w:tcW w:w="1359" w:type="dxa"/>
            <w:shd w:val="clear" w:color="auto" w:fill="C6D9F1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  <w:t>Показник виконання за 2015 рік</w:t>
            </w:r>
          </w:p>
        </w:tc>
        <w:tc>
          <w:tcPr>
            <w:tcW w:w="1302" w:type="dxa"/>
            <w:shd w:val="clear" w:color="auto" w:fill="C6D9F1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  <w:t>% виконання</w:t>
            </w:r>
          </w:p>
        </w:tc>
      </w:tr>
      <w:tr w:rsidR="00436E1B" w:rsidRPr="00C37593">
        <w:tc>
          <w:tcPr>
            <w:tcW w:w="534" w:type="dxa"/>
            <w:shd w:val="clear" w:color="auto" w:fill="C6D9F1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2126" w:type="dxa"/>
            <w:shd w:val="clear" w:color="auto" w:fill="C6D9F1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5528" w:type="dxa"/>
            <w:shd w:val="clear" w:color="auto" w:fill="C6D9F1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2153" w:type="dxa"/>
            <w:shd w:val="clear" w:color="auto" w:fill="C6D9F1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2300" w:type="dxa"/>
            <w:shd w:val="clear" w:color="auto" w:fill="C6D9F1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1359" w:type="dxa"/>
            <w:shd w:val="clear" w:color="auto" w:fill="C6D9F1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1302" w:type="dxa"/>
            <w:shd w:val="clear" w:color="auto" w:fill="C6D9F1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7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highlight w:val="cy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Стратегічні цілі 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Середнє щорічне зростання реального ВРП 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% / рік 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5,95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- 6,50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Стратегічні цілі 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Наявний дохід у розрахунку на одну особу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грн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59709,0</w:t>
            </w:r>
            <w:r w:rsidRPr="00C37593"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  <w:t>1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</w:rPr>
              <w:t>62</w:t>
            </w:r>
            <w:r w:rsidRPr="00C37593">
              <w:rPr>
                <w:rFonts w:ascii="Times New Roman" w:hAnsi="Times New Roman" w:cs="Times New Roman"/>
                <w:lang w:val="uk-UA"/>
              </w:rPr>
              <w:t>715</w:t>
            </w:r>
            <w:r w:rsidRPr="00C37593">
              <w:rPr>
                <w:rFonts w:ascii="Times New Roman" w:hAnsi="Times New Roman" w:cs="Times New Roman"/>
              </w:rPr>
              <w:t>,</w:t>
            </w:r>
            <w:r w:rsidRPr="00C37593">
              <w:rPr>
                <w:rFonts w:ascii="Times New Roman" w:hAnsi="Times New Roman" w:cs="Times New Roman"/>
                <w:lang w:val="uk-UA"/>
              </w:rPr>
              <w:t>1</w:t>
            </w:r>
            <w:r w:rsidRPr="00C37593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105,03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Загальні 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Постійне населення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млн. осіб 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2,720</w:t>
            </w:r>
            <w:r w:rsidRPr="00C37593"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  <w:t>3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2,865</w:t>
            </w:r>
            <w:r w:rsidRPr="00C37593">
              <w:rPr>
                <w:rFonts w:ascii="Times New Roman" w:hAnsi="Times New Roman" w:cs="Times New Roman"/>
                <w:vertAlign w:val="superscript"/>
                <w:lang w:val="uk-UA" w:eastAsia="uk-UA"/>
              </w:rPr>
              <w:t>4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105,33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Загальні 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Площа міста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тис. га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84,00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83,55</w:t>
            </w:r>
            <w:r w:rsidRPr="00C37593">
              <w:rPr>
                <w:rFonts w:ascii="Times New Roman" w:hAnsi="Times New Roman" w:cs="Times New Roman"/>
                <w:vertAlign w:val="superscript"/>
                <w:lang w:val="uk-UA" w:eastAsia="uk-UA"/>
              </w:rPr>
              <w:t>5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99,46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Економіка 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Номінальне ВРП на душу населення</w:t>
            </w:r>
            <w:r w:rsidRPr="00C37593">
              <w:rPr>
                <w:rStyle w:val="EndnoteReference"/>
                <w:rFonts w:ascii="Times New Roman" w:hAnsi="Times New Roman" w:cs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тис. грн./мешканця 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164,0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160,8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98,05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Економіка 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Кумулятивні прямі іноземні інвестиції на 1 постійного жителя 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тис. євро/ мешканця 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593">
              <w:rPr>
                <w:rFonts w:ascii="Times New Roman" w:hAnsi="Times New Roman" w:cs="Times New Roman"/>
                <w:lang w:val="uk-UA"/>
              </w:rPr>
              <w:t>14,7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593">
              <w:rPr>
                <w:rFonts w:ascii="Times New Roman" w:hAnsi="Times New Roman" w:cs="Times New Roman"/>
                <w:lang w:val="uk-UA"/>
              </w:rPr>
              <w:t>7,1</w:t>
            </w:r>
            <w:r w:rsidRPr="00C37593">
              <w:rPr>
                <w:rStyle w:val="EndnoteReference"/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593">
              <w:rPr>
                <w:rFonts w:ascii="Times New Roman" w:hAnsi="Times New Roman" w:cs="Times New Roman"/>
                <w:lang w:val="uk-UA"/>
              </w:rPr>
              <w:t>48,30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Економіка 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Капітальні інвестиції на рік 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тис. грн./ мешканця 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593">
              <w:rPr>
                <w:rFonts w:ascii="Times New Roman" w:hAnsi="Times New Roman" w:cs="Times New Roman"/>
                <w:lang w:val="uk-UA"/>
              </w:rPr>
              <w:t>11,2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593">
              <w:rPr>
                <w:rFonts w:ascii="Times New Roman" w:hAnsi="Times New Roman" w:cs="Times New Roman"/>
                <w:lang w:val="uk-UA"/>
              </w:rPr>
              <w:t>19,8</w:t>
            </w:r>
            <w:r w:rsidRPr="00C37593">
              <w:rPr>
                <w:rFonts w:ascii="Times New Roman" w:hAnsi="Times New Roman" w:cs="Times New Roman"/>
                <w:vertAlign w:val="superscript"/>
                <w:lang w:val="uk-UA"/>
              </w:rPr>
              <w:t>7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593">
              <w:rPr>
                <w:rFonts w:ascii="Times New Roman" w:hAnsi="Times New Roman" w:cs="Times New Roman"/>
                <w:lang w:val="uk-UA"/>
              </w:rPr>
              <w:t>177,05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Економіка 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Доля малих підприємств в реалізованій продукції міста</w:t>
            </w:r>
            <w:r w:rsidRPr="00C37593">
              <w:rPr>
                <w:rStyle w:val="EndnoteReference"/>
                <w:rFonts w:ascii="Times New Roman" w:hAnsi="Times New Roman" w:cs="Times New Roman"/>
                <w:color w:val="000000"/>
                <w:lang w:val="uk-UA" w:eastAsia="uk-UA"/>
              </w:rPr>
              <w:t>8</w:t>
            </w: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% 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20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/>
              </w:rPr>
              <w:t>15,8</w:t>
            </w:r>
            <w:r w:rsidRPr="00C37593">
              <w:rPr>
                <w:rStyle w:val="EndnoteReference"/>
                <w:rFonts w:ascii="Times New Roman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/>
              </w:rPr>
              <w:t>79,00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Економіка 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Валовий регіональний продукт (у фактичних цінах) у розрахунку на одну особу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тис. грн./мешканця 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164,0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160,8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98,05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Економіка 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Обсяг прямих іноземних інвестицій у розрахунку на одну особу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доларів США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8700,0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7992,5</w:t>
            </w:r>
            <w:r w:rsidRPr="00C37593"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  <w:t>7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91,87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highlight w:val="cy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Економіка</w:t>
            </w:r>
            <w:r w:rsidRPr="00C37593">
              <w:rPr>
                <w:rFonts w:ascii="Times New Roman" w:hAnsi="Times New Roman" w:cs="Times New Roman"/>
                <w:color w:val="000000"/>
                <w:highlight w:val="cyan"/>
                <w:lang w:val="uk-UA" w:eastAsia="uk-UA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Експорт товарів у розрахунку на одну особу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доларів США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3180,4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3018,4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94,91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Економіка 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Кількість малих підприємств у розрахунку на 10 тис. наявного населення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одиниць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/>
              </w:rPr>
              <w:t>280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C37593">
              <w:rPr>
                <w:rFonts w:ascii="Times New Roman" w:hAnsi="Times New Roman" w:cs="Times New Roman"/>
                <w:lang w:val="uk-UA"/>
              </w:rPr>
              <w:t>290</w:t>
            </w:r>
            <w:r w:rsidRPr="00C37593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593">
              <w:rPr>
                <w:rFonts w:ascii="Times New Roman" w:hAnsi="Times New Roman" w:cs="Times New Roman"/>
                <w:lang w:val="uk-UA"/>
              </w:rPr>
              <w:t>103,57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13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Економіка 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Кількість середніх підприємств у розрахунку на 10 тис. наявного населення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одиниць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759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593">
              <w:rPr>
                <w:rFonts w:ascii="Times New Roman" w:hAnsi="Times New Roman" w:cs="Times New Roman"/>
              </w:rPr>
              <w:t>1</w:t>
            </w:r>
            <w:r w:rsidRPr="00C3759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593">
              <w:rPr>
                <w:rFonts w:ascii="Times New Roman" w:hAnsi="Times New Roman" w:cs="Times New Roman"/>
                <w:lang w:val="uk-UA"/>
              </w:rPr>
              <w:t>80,00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14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Економіка 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Обсяг реалізованої інноваційної продукції, відсотків загального обсягу реалізованої промислової продукції</w:t>
            </w:r>
            <w:r w:rsidRPr="00C37593">
              <w:rPr>
                <w:rStyle w:val="EndnoteReference"/>
                <w:rFonts w:ascii="Times New Roman" w:hAnsi="Times New Roman" w:cs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%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593">
              <w:rPr>
                <w:rFonts w:ascii="Times New Roman" w:hAnsi="Times New Roman" w:cs="Times New Roman"/>
                <w:lang w:val="uk-UA"/>
              </w:rPr>
              <w:t>6</w:t>
            </w:r>
            <w:r w:rsidRPr="00C37593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593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37,31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15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Економіка 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Середньомісячна заробітна плата (номінальна)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грн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6264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/>
              </w:rPr>
              <w:t>6732</w:t>
            </w:r>
            <w:r w:rsidRPr="00C37593">
              <w:rPr>
                <w:rStyle w:val="EndnoteReference"/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107,47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16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Транспорт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Довжина ліній громадського транспорту</w:t>
            </w:r>
            <w:r w:rsidRPr="00C37593">
              <w:rPr>
                <w:rStyle w:val="EndnoteReference"/>
                <w:rFonts w:ascii="Times New Roman" w:hAnsi="Times New Roman" w:cs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км/10000 осіб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11,6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593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593">
              <w:rPr>
                <w:rFonts w:ascii="Times New Roman" w:hAnsi="Times New Roman" w:cs="Times New Roman"/>
              </w:rPr>
              <w:t>134,4</w:t>
            </w:r>
            <w:r w:rsidRPr="00C37593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17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Транспорт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Щільність вулично-магістральної мережі</w:t>
            </w:r>
            <w:r w:rsidRPr="00C37593">
              <w:rPr>
                <w:rStyle w:val="EndnoteReference"/>
                <w:rFonts w:ascii="Times New Roman" w:hAnsi="Times New Roman" w:cs="Times New Roman"/>
                <w:color w:val="000000"/>
                <w:lang w:val="uk-UA" w:eastAsia="uk-UA"/>
              </w:rPr>
              <w:t>13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км/км²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2,35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59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593">
              <w:rPr>
                <w:rFonts w:ascii="Times New Roman" w:hAnsi="Times New Roman" w:cs="Times New Roman"/>
              </w:rPr>
              <w:t>85,1</w:t>
            </w:r>
            <w:r w:rsidRPr="00C37593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18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Транспорт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Кількість постраждалих в аваріях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осіб/км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1,8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593">
              <w:rPr>
                <w:rFonts w:ascii="Times New Roman" w:hAnsi="Times New Roman" w:cs="Times New Roman"/>
                <w:lang w:val="uk-UA"/>
              </w:rPr>
              <w:t>0,65</w:t>
            </w:r>
            <w:r w:rsidRPr="00C37593">
              <w:rPr>
                <w:rStyle w:val="EndnoteReference"/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93">
              <w:rPr>
                <w:rFonts w:ascii="Times New Roman" w:hAnsi="Times New Roman" w:cs="Times New Roman"/>
                <w:sz w:val="20"/>
                <w:szCs w:val="20"/>
              </w:rPr>
              <w:t>Зменшення коефіцієнта є позитивним результатом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19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Транспорт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Розподіл пасажиропотоку за видами транспорту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доля громадського/ приватного/ альтернативного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51/45/4</w:t>
            </w:r>
          </w:p>
        </w:tc>
        <w:tc>
          <w:tcPr>
            <w:tcW w:w="2661" w:type="dxa"/>
            <w:gridSpan w:val="2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5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2010 р. </w:t>
            </w:r>
            <w:r w:rsidRPr="00C37593">
              <w:rPr>
                <w:rFonts w:ascii="Times New Roman" w:hAnsi="Times New Roman" w:cs="Times New Roman"/>
                <w:sz w:val="20"/>
                <w:szCs w:val="20"/>
              </w:rPr>
              <w:t>проов</w:t>
            </w:r>
            <w:r w:rsidRPr="00C375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едено</w:t>
            </w:r>
            <w:r w:rsidRPr="00C37593">
              <w:rPr>
                <w:rFonts w:ascii="Times New Roman" w:hAnsi="Times New Roman" w:cs="Times New Roman"/>
                <w:sz w:val="20"/>
                <w:szCs w:val="20"/>
              </w:rPr>
              <w:t xml:space="preserve"> одноразове дослідження</w:t>
            </w:r>
            <w:r w:rsidRPr="00C375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20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Транспорт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Середня швидкість руху наземного громадського та автомобільного транспорту в години пік</w:t>
            </w:r>
            <w:r w:rsidRPr="00C37593"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  <w:t>15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км/год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30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593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593">
              <w:rPr>
                <w:rFonts w:ascii="Times New Roman" w:hAnsi="Times New Roman" w:cs="Times New Roman"/>
              </w:rPr>
              <w:t>56,</w:t>
            </w:r>
            <w:r w:rsidRPr="00C37593">
              <w:rPr>
                <w:rFonts w:ascii="Times New Roman" w:hAnsi="Times New Roman" w:cs="Times New Roman"/>
                <w:lang w:val="uk-UA"/>
              </w:rPr>
              <w:t>67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21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Транспорт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Площа доріг, що потребують ремонту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%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67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593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593">
              <w:rPr>
                <w:rFonts w:ascii="Times New Roman" w:hAnsi="Times New Roman" w:cs="Times New Roman"/>
              </w:rPr>
              <w:t>128,</w:t>
            </w:r>
            <w:r w:rsidRPr="00C37593">
              <w:rPr>
                <w:rFonts w:ascii="Times New Roman" w:hAnsi="Times New Roman" w:cs="Times New Roman"/>
                <w:lang w:val="uk-UA"/>
              </w:rPr>
              <w:t>36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22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ЖКГ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Протяжність ел. розподільних мереж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км/1000 осіб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5,0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4,53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90,60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23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ЖКГ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Щільність ел. розподільних мереж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км/км²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16,7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15,44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92,46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24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ЖКГ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Протяжність водогонів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км/1000 осіб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1,7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1,45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85,29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25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ЖКГ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Щільність водогонів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км/км²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5,7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5,0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87,72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26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ЖКГ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Протяжність канал. мереж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км/1000 осіб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1,2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0,91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75,83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27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ЖКГ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Щільність канал. мереж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км/км²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4,0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3,15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78,75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28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ЖКГ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Доля втрат води від загального споживання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%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15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14,37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95,80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29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ЖКГ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Ступінь зношеності електричних трансформаторних підстанцій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%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25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66,0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30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ЖКГ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Ступінь зношеності тепломереж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%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30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67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31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ЖКГ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Ступінь зношеності Деснянської і Дніпровської водозабірних станцій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%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45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89,0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32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ЖКГ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Частина будинків, зношених більш ніж на 40%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%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-</w:t>
            </w:r>
            <w:r w:rsidRPr="00C37593">
              <w:rPr>
                <w:rFonts w:ascii="Times New Roman" w:hAnsi="Times New Roman" w:cs="Times New Roman"/>
                <w:vertAlign w:val="superscript"/>
                <w:lang w:val="uk-UA" w:eastAsia="uk-UA"/>
              </w:rPr>
              <w:t>16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33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ЖКГ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Рівень обладнання загальної площі житлового фонду водопроводом у міській місцевості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%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99,3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99,3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100,00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34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Екологія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Викиди шкідливих речовин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т/км²/рік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275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256,2</w:t>
            </w:r>
            <w:r w:rsidRPr="00C37593"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  <w:t>2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Зменшення коефіцієнта є позитивним результатом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35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Екологія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Доля переробки ТПВ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%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20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23,5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виконано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36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Екологія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Частка переобладнаних систем екологічно небезпечних каналізаційних та очисних споруд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%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45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25,2</w:t>
            </w:r>
            <w:r w:rsidRPr="00C37593">
              <w:rPr>
                <w:rFonts w:ascii="Times New Roman" w:hAnsi="Times New Roman" w:cs="Times New Roman"/>
                <w:vertAlign w:val="superscript"/>
                <w:lang w:val="uk-UA" w:eastAsia="uk-UA"/>
              </w:rPr>
              <w:t>17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56,00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37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Екологія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Відсоток регенерованих забруднених територій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%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60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 xml:space="preserve">- </w:t>
            </w:r>
            <w:r w:rsidRPr="00C37593">
              <w:rPr>
                <w:rFonts w:ascii="Times New Roman" w:hAnsi="Times New Roman" w:cs="Times New Roman"/>
                <w:vertAlign w:val="superscript"/>
                <w:lang w:val="uk-UA" w:eastAsia="uk-UA"/>
              </w:rPr>
              <w:t>18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38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Екологія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Частка підприємств, які використовують процедури екологічного і соціального управління (ISO 14000)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%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45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 xml:space="preserve">- </w:t>
            </w:r>
            <w:r w:rsidRPr="00C37593">
              <w:rPr>
                <w:rFonts w:ascii="Times New Roman" w:hAnsi="Times New Roman" w:cs="Times New Roman"/>
                <w:vertAlign w:val="superscript"/>
                <w:lang w:val="uk-UA" w:eastAsia="uk-UA"/>
              </w:rPr>
              <w:t>18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39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Екологія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Забезпеченість зеленими зонами загального користування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м²/мешканця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18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21,72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120,67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40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Екологія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Питома вага утилізованих відходів, відсотків загальної кількості утворених відходів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%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15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23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14" w:lineRule="auto"/>
              <w:ind w:left="-57" w:right="-57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На 8 відсоткових пунктів більше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41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Екологія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Площа земель природно-заповідного фонду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тис. га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13,3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13,3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100,00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42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Екологія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Питома вага площі природно-заповідного фонду до площі адміністративно-територіальної одиниці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%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15,9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15,9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100,00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43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Культура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Кількість відвідувань музеїв на мешканця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відвідувачів/ мешканців міста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1,8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0,29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16,11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44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Культура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Кількість відвідувань театрів на мешканця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відвідувачів/ мешканців міста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1,0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0,23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23,00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45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Культура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Кількість галерей</w:t>
            </w:r>
            <w:r w:rsidRPr="00C37593"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  <w:t>19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галерей/ 100000 осіб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2,6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0,17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6,54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46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Туризм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Кількість в’їзних туристів</w:t>
            </w:r>
            <w:r w:rsidRPr="00C37593"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  <w:t>20</w:t>
            </w: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млн. осіб 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1,5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593">
              <w:rPr>
                <w:rFonts w:ascii="Times New Roman" w:hAnsi="Times New Roman" w:cs="Times New Roman"/>
                <w:lang w:val="uk-UA"/>
              </w:rPr>
              <w:t>1,53</w:t>
            </w:r>
            <w:r w:rsidRPr="00C37593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593">
              <w:rPr>
                <w:rFonts w:ascii="Times New Roman" w:hAnsi="Times New Roman" w:cs="Times New Roman"/>
                <w:lang w:val="uk-UA"/>
              </w:rPr>
              <w:t>102,00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47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Туризм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Середня тривалість перебування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днів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3,0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593">
              <w:rPr>
                <w:rFonts w:ascii="Times New Roman" w:hAnsi="Times New Roman" w:cs="Times New Roman"/>
                <w:lang w:val="uk-UA"/>
              </w:rPr>
              <w:t>3,2</w:t>
            </w:r>
            <w:r w:rsidRPr="00C37593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593">
              <w:rPr>
                <w:rFonts w:ascii="Times New Roman" w:hAnsi="Times New Roman" w:cs="Times New Roman"/>
                <w:lang w:val="uk-UA"/>
              </w:rPr>
              <w:t>106,67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48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Туризм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Кількість номерів у готелях (закладах розміщення)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тис. од.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13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593">
              <w:rPr>
                <w:rFonts w:ascii="Times New Roman" w:hAnsi="Times New Roman" w:cs="Times New Roman"/>
                <w:lang w:val="uk-UA"/>
              </w:rPr>
              <w:t>11,9</w:t>
            </w:r>
            <w:r w:rsidRPr="00C37593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593">
              <w:rPr>
                <w:rFonts w:ascii="Times New Roman" w:hAnsi="Times New Roman" w:cs="Times New Roman"/>
                <w:lang w:val="uk-UA"/>
              </w:rPr>
              <w:t>91,54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49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Туризм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Середньорічне завантаження номерного фонду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%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56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593">
              <w:rPr>
                <w:rFonts w:ascii="Times New Roman" w:hAnsi="Times New Roman" w:cs="Times New Roman"/>
                <w:lang w:val="uk-UA"/>
              </w:rPr>
              <w:t>26</w:t>
            </w:r>
            <w:r w:rsidRPr="00C37593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593">
              <w:rPr>
                <w:rFonts w:ascii="Times New Roman" w:hAnsi="Times New Roman" w:cs="Times New Roman"/>
                <w:lang w:val="uk-UA"/>
              </w:rPr>
              <w:t>46,43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50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Туризм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Частка доходів від туризму в ВРП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%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2,5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593">
              <w:rPr>
                <w:rFonts w:ascii="Times New Roman" w:hAnsi="Times New Roman" w:cs="Times New Roman"/>
                <w:lang w:val="uk-UA"/>
              </w:rPr>
              <w:t>0,5</w:t>
            </w:r>
            <w:r w:rsidRPr="00C37593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593">
              <w:rPr>
                <w:rFonts w:ascii="Times New Roman" w:hAnsi="Times New Roman" w:cs="Times New Roman"/>
                <w:lang w:val="uk-UA"/>
              </w:rPr>
              <w:t>20,00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51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Охорона здоров’я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val="uk-UA" w:eastAsia="uk-UA"/>
              </w:rPr>
            </w:pPr>
          </w:p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Очікувана тривалість життя при народженні</w:t>
            </w:r>
          </w:p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років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74,4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en-US" w:eastAsia="uk-UA"/>
              </w:rPr>
              <w:t>73</w:t>
            </w:r>
            <w:r w:rsidRPr="00C37593">
              <w:rPr>
                <w:rFonts w:ascii="Times New Roman" w:hAnsi="Times New Roman" w:cs="Times New Roman"/>
                <w:lang w:val="uk-UA" w:eastAsia="uk-UA"/>
              </w:rPr>
              <w:t>,7</w:t>
            </w:r>
            <w:r w:rsidRPr="00C37593">
              <w:rPr>
                <w:rFonts w:ascii="Times New Roman" w:hAnsi="Times New Roman" w:cs="Times New Roman"/>
                <w:vertAlign w:val="superscript"/>
                <w:lang w:val="uk-UA" w:eastAsia="uk-UA"/>
              </w:rPr>
              <w:t>2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99,06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52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Охорона здоров’я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Первинна захворюваність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осіб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898,9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850,4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94,60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53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Охорона здоров’я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Смертність у працездатному віці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випадків/1000 мешканців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3,2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3,9</w:t>
            </w:r>
            <w:r w:rsidRPr="00C37593">
              <w:rPr>
                <w:rFonts w:ascii="Times New Roman" w:hAnsi="Times New Roman" w:cs="Times New Roman"/>
                <w:vertAlign w:val="superscript"/>
                <w:lang w:val="uk-UA" w:eastAsia="uk-UA"/>
              </w:rPr>
              <w:t>2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121,88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54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Охорона здоров’я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Частка видатків на первинну допомогу в загальних видатках на охорону здоров’я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%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18-20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19,0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100,00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55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Охорона здоров’я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Впровадження договірних відносин, зміна підходу до фінансування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так/ні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так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так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56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Охорона здоров’я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Середня кількість днів роботи ліжка стаціонарів на рік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днів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310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302,5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97,58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57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Охорона здоров’я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Середні строки лікування на ліжках стаціонарів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днів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10,5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116,67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58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Охорона здоров’я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Смертність дітей у віці до 1 року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випадків/ 1000 народжених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7,0</w:t>
            </w:r>
            <w:r w:rsidRPr="00C37593">
              <w:rPr>
                <w:rFonts w:ascii="Times New Roman" w:hAnsi="Times New Roman" w:cs="Times New Roman"/>
                <w:vertAlign w:val="superscript"/>
                <w:lang w:val="uk-UA" w:eastAsia="uk-UA"/>
              </w:rPr>
              <w:t>2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116,67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59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Охорона здоров’я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Забезпеченість населення лікарями всіх спеціальностей (на 10 тис. наявного населення на кінець року)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осіб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82,2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82,2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100,00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60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Охорона здоров’я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Рівень смертності на 1 тис. населення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проміле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10,5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10,5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100,00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61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Охорона здоров’я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Демографічне навантаження на 1 тис. осіб постійного населення віком 16-59 років (міська місцевість)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проміле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652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652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100,00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62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Освіта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8"/>
                <w:szCs w:val="8"/>
                <w:lang w:val="uk-UA" w:eastAsia="uk-UA"/>
              </w:rPr>
            </w:pPr>
          </w:p>
          <w:p w:rsidR="00436E1B" w:rsidRPr="00C37593" w:rsidRDefault="00436E1B" w:rsidP="00C37593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Співвідношення учнів/учителів у школах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5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593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593">
              <w:rPr>
                <w:rFonts w:ascii="Times New Roman" w:hAnsi="Times New Roman" w:cs="Times New Roman"/>
              </w:rPr>
              <w:t>79</w:t>
            </w:r>
            <w:r w:rsidRPr="00C37593">
              <w:rPr>
                <w:rFonts w:ascii="Times New Roman" w:hAnsi="Times New Roman" w:cs="Times New Roman"/>
                <w:lang w:val="uk-UA"/>
              </w:rPr>
              <w:t>,00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63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Освіта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Якість освіти (Newsweek)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рейтинговий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68</w:t>
            </w:r>
          </w:p>
        </w:tc>
        <w:tc>
          <w:tcPr>
            <w:tcW w:w="2661" w:type="dxa"/>
            <w:gridSpan w:val="2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sz w:val="20"/>
                <w:szCs w:val="20"/>
              </w:rPr>
              <w:t xml:space="preserve">У 2010 році </w:t>
            </w:r>
            <w:hyperlink r:id="rId8" w:tooltip="Newsweek" w:history="1">
              <w:r w:rsidRPr="00C3759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«Newsweek»</w:t>
              </w:r>
            </w:hyperlink>
            <w:r w:rsidRPr="00C37593">
              <w:rPr>
                <w:rFonts w:ascii="Times New Roman" w:hAnsi="Times New Roman" w:cs="Times New Roman"/>
                <w:sz w:val="20"/>
                <w:szCs w:val="20"/>
              </w:rPr>
              <w:t xml:space="preserve"> проовів одноразове дослідження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64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Освіта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Співвідношення дітей ДНЗ/педагогів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593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593">
              <w:rPr>
                <w:rFonts w:ascii="Times New Roman" w:hAnsi="Times New Roman" w:cs="Times New Roman"/>
              </w:rPr>
              <w:t>90</w:t>
            </w:r>
            <w:r w:rsidRPr="00C37593">
              <w:rPr>
                <w:rFonts w:ascii="Times New Roman" w:hAnsi="Times New Roman" w:cs="Times New Roman"/>
                <w:lang w:val="uk-UA"/>
              </w:rPr>
              <w:t>,00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65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Освіта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Співвідношення студентів ПТ НЗ/педагогів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20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5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37593">
              <w:rPr>
                <w:rFonts w:ascii="Times New Roman" w:hAnsi="Times New Roman" w:cs="Times New Roman"/>
                <w:sz w:val="20"/>
                <w:szCs w:val="20"/>
              </w:rPr>
              <w:t>Уточнене значення коефіцієнта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66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Освіта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Кількість дітей у ДНЗ/місць у ДНЗ, (%)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%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100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593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302" w:type="dxa"/>
          </w:tcPr>
          <w:p w:rsidR="00436E1B" w:rsidRPr="00C37593" w:rsidRDefault="00436E1B" w:rsidP="00C37593">
            <w:pPr>
              <w:spacing w:after="0" w:line="240" w:lineRule="auto"/>
            </w:pPr>
            <w:r w:rsidRPr="00C37593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C375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23 </w:t>
            </w:r>
            <w:r w:rsidRPr="00C37593">
              <w:rPr>
                <w:rFonts w:ascii="Times New Roman" w:hAnsi="Times New Roman" w:cs="Times New Roman"/>
                <w:sz w:val="20"/>
                <w:szCs w:val="20"/>
              </w:rPr>
              <w:t>відсотков</w:t>
            </w:r>
            <w:r w:rsidRPr="00C375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C37593">
              <w:rPr>
                <w:rFonts w:ascii="Times New Roman" w:hAnsi="Times New Roman" w:cs="Times New Roman"/>
                <w:sz w:val="20"/>
                <w:szCs w:val="20"/>
              </w:rPr>
              <w:t xml:space="preserve"> пункти більше 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67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Освіта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Заробітна плата вчителя/середня заробітна плата 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%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91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59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02" w:type="dxa"/>
          </w:tcPr>
          <w:p w:rsidR="00436E1B" w:rsidRPr="00C37593" w:rsidRDefault="00436E1B" w:rsidP="00C37593">
            <w:pPr>
              <w:spacing w:after="0" w:line="240" w:lineRule="auto"/>
            </w:pPr>
            <w:r w:rsidRPr="00C37593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C375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26 </w:t>
            </w:r>
            <w:r w:rsidRPr="00C37593">
              <w:rPr>
                <w:rFonts w:ascii="Times New Roman" w:hAnsi="Times New Roman" w:cs="Times New Roman"/>
                <w:sz w:val="20"/>
                <w:szCs w:val="20"/>
              </w:rPr>
              <w:t xml:space="preserve">відсоткових пункти </w:t>
            </w:r>
            <w:r w:rsidRPr="00C375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менше</w:t>
            </w:r>
            <w:r w:rsidRPr="00C37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68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Освіта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Коефіцієнт плинності педагогічного персоналу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%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593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302" w:type="dxa"/>
          </w:tcPr>
          <w:p w:rsidR="00436E1B" w:rsidRPr="00C37593" w:rsidRDefault="00436E1B" w:rsidP="00C37593">
            <w:pPr>
              <w:spacing w:after="0" w:line="240" w:lineRule="auto"/>
            </w:pPr>
            <w:r w:rsidRPr="00C37593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C375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5,9 </w:t>
            </w:r>
            <w:r w:rsidRPr="00C37593">
              <w:rPr>
                <w:rFonts w:ascii="Times New Roman" w:hAnsi="Times New Roman" w:cs="Times New Roman"/>
                <w:sz w:val="20"/>
                <w:szCs w:val="20"/>
              </w:rPr>
              <w:t>відсоткових пункт</w:t>
            </w:r>
            <w:r w:rsidRPr="00C375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</w:t>
            </w:r>
            <w:r w:rsidRPr="00C37593">
              <w:rPr>
                <w:rFonts w:ascii="Times New Roman" w:hAnsi="Times New Roman" w:cs="Times New Roman"/>
                <w:sz w:val="20"/>
                <w:szCs w:val="20"/>
              </w:rPr>
              <w:t xml:space="preserve"> більше 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69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Освіта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val="uk-UA" w:eastAsia="uk-UA"/>
              </w:rPr>
            </w:pPr>
          </w:p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Кількість НЗ, що потребують капітального ремонту</w:t>
            </w:r>
          </w:p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 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200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593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70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Освіта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Частка працевлаштованих випускників ПТНЗ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%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93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59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71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Освіта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Охоплення дітей дошкільними навчальними закладами (міська місцевість)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%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66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593">
              <w:rPr>
                <w:rFonts w:ascii="Times New Roman" w:hAnsi="Times New Roman" w:cs="Times New Roman"/>
                <w:lang w:val="uk-UA"/>
              </w:rPr>
              <w:t>68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14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75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103,03 </w:t>
            </w:r>
          </w:p>
          <w:p w:rsidR="00436E1B" w:rsidRPr="00C37593" w:rsidRDefault="00436E1B" w:rsidP="00C37593">
            <w:pPr>
              <w:spacing w:after="0" w:line="214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75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або на 2 відсоткових пункти більше 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72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highlight w:val="cy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Безпека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Кількість злочинів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злочинів/100000</w:t>
            </w:r>
            <w:r w:rsidRPr="00C37593">
              <w:rPr>
                <w:rFonts w:ascii="Times New Roman" w:hAnsi="Times New Roman" w:cs="Times New Roman"/>
                <w:color w:val="000000"/>
                <w:lang w:val="en-US" w:eastAsia="uk-UA"/>
              </w:rPr>
              <w:t xml:space="preserve"> </w:t>
            </w: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осіб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11,0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vertAlign w:val="superscript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 xml:space="preserve">- </w:t>
            </w:r>
            <w:r w:rsidRPr="00C37593">
              <w:rPr>
                <w:rFonts w:ascii="Times New Roman" w:hAnsi="Times New Roman" w:cs="Times New Roman"/>
                <w:vertAlign w:val="superscript"/>
                <w:lang w:val="uk-UA" w:eastAsia="uk-UA"/>
              </w:rPr>
              <w:t>18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73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Безпека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8"/>
                <w:szCs w:val="8"/>
                <w:vertAlign w:val="superscript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Комплексний рейтинг безпеки EIU</w:t>
            </w:r>
            <w:r w:rsidRPr="00C37593"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  <w:t>21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рейтинговий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72,8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73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Соц. захист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Міжнародний коефіцієнт нерівності доходів домогосподарств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37593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C37593">
              <w:rPr>
                <w:rFonts w:ascii="Times New Roman" w:hAnsi="Times New Roman" w:cs="Times New Roman"/>
              </w:rPr>
              <w:t>0,272</w:t>
            </w:r>
            <w:r w:rsidRPr="00C37593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93">
              <w:rPr>
                <w:rFonts w:ascii="Times New Roman" w:hAnsi="Times New Roman" w:cs="Times New Roman"/>
                <w:sz w:val="20"/>
                <w:szCs w:val="20"/>
              </w:rPr>
              <w:t>Зменшення коефіцієнта є позитивним результатом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74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Соц. захист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Кількість робочих місць для осіб без ПММ</w:t>
            </w:r>
            <w:r w:rsidRPr="00C37593"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  <w:t>22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місць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200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75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Соц. захист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Загальна кількість осіб без ПММ до числа місць у закладах для перебування осіб без ПММ</w:t>
            </w:r>
            <w:r w:rsidRPr="00C37593">
              <w:rPr>
                <w:rStyle w:val="EndnoteReference"/>
                <w:rFonts w:ascii="Times New Roman" w:hAnsi="Times New Roman" w:cs="Times New Roman"/>
                <w:color w:val="000000"/>
                <w:lang w:val="uk-UA" w:eastAsia="uk-UA"/>
              </w:rPr>
              <w:t>23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%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150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76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Ринок праці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Рівень безробіття населення у віці 15–70 років 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%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4,60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C37593">
              <w:rPr>
                <w:rFonts w:ascii="Times New Roman" w:hAnsi="Times New Roman" w:cs="Times New Roman"/>
              </w:rPr>
              <w:t>6,8</w:t>
            </w:r>
            <w:r w:rsidRPr="00C37593">
              <w:rPr>
                <w:rStyle w:val="EndnoteReference"/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14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93">
              <w:rPr>
                <w:rFonts w:ascii="Times New Roman" w:hAnsi="Times New Roman" w:cs="Times New Roman"/>
                <w:sz w:val="20"/>
                <w:szCs w:val="20"/>
              </w:rPr>
              <w:t>на 2,2 відсоткових пункти більше або</w:t>
            </w:r>
          </w:p>
          <w:p w:rsidR="00436E1B" w:rsidRPr="00C37593" w:rsidRDefault="00436E1B" w:rsidP="00C37593">
            <w:pPr>
              <w:spacing w:after="0" w:line="214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93">
              <w:rPr>
                <w:rFonts w:ascii="Times New Roman" w:hAnsi="Times New Roman" w:cs="Times New Roman"/>
                <w:sz w:val="20"/>
                <w:szCs w:val="20"/>
              </w:rPr>
              <w:t>в 1,5 рази більше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77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Ринок праці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Рівень безробіття за методологією Міжнародної організації праці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%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4,60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C37593">
              <w:rPr>
                <w:rFonts w:ascii="Times New Roman" w:hAnsi="Times New Roman" w:cs="Times New Roman"/>
              </w:rPr>
              <w:t>6,8</w:t>
            </w:r>
            <w:r w:rsidRPr="00C37593">
              <w:rPr>
                <w:rFonts w:ascii="Times New Roman" w:hAnsi="Times New Roman" w:cs="Times New Roman"/>
                <w:vertAlign w:val="superscript"/>
                <w:lang w:val="uk-UA"/>
              </w:rPr>
              <w:t>24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14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93">
              <w:rPr>
                <w:rFonts w:ascii="Times New Roman" w:hAnsi="Times New Roman" w:cs="Times New Roman"/>
                <w:sz w:val="20"/>
                <w:szCs w:val="20"/>
              </w:rPr>
              <w:t>на 2,2 відсоткових пункти більше або</w:t>
            </w:r>
          </w:p>
          <w:p w:rsidR="00436E1B" w:rsidRPr="00C37593" w:rsidRDefault="00436E1B" w:rsidP="00C37593">
            <w:pPr>
              <w:spacing w:after="0" w:line="214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593">
              <w:rPr>
                <w:rFonts w:ascii="Times New Roman" w:hAnsi="Times New Roman" w:cs="Times New Roman"/>
                <w:sz w:val="20"/>
                <w:szCs w:val="20"/>
              </w:rPr>
              <w:t>в 1,5 рази більше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78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Ринок праці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Рівень середньої заробітної плати 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євро/особу </w:t>
            </w: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550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C37593">
              <w:rPr>
                <w:rFonts w:ascii="Times New Roman" w:hAnsi="Times New Roman" w:cs="Times New Roman"/>
                <w:lang w:val="uk-UA"/>
              </w:rPr>
              <w:t>323,65</w:t>
            </w:r>
            <w:r w:rsidRPr="00C37593">
              <w:rPr>
                <w:rStyle w:val="EndnoteReference"/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37593">
              <w:rPr>
                <w:rFonts w:ascii="Times New Roman" w:hAnsi="Times New Roman" w:cs="Times New Roman"/>
              </w:rPr>
              <w:t>58,85</w:t>
            </w:r>
          </w:p>
        </w:tc>
      </w:tr>
      <w:tr w:rsidR="00436E1B" w:rsidRPr="00C37593">
        <w:tc>
          <w:tcPr>
            <w:tcW w:w="534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79</w:t>
            </w:r>
          </w:p>
        </w:tc>
        <w:tc>
          <w:tcPr>
            <w:tcW w:w="2126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Ринок праці</w:t>
            </w:r>
          </w:p>
        </w:tc>
        <w:tc>
          <w:tcPr>
            <w:tcW w:w="5528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Співвідношення рівня безробіття серед економічно активних жінок до рівня безробіття серед економічно активних чоловіків</w:t>
            </w:r>
          </w:p>
        </w:tc>
        <w:tc>
          <w:tcPr>
            <w:tcW w:w="2153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300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  <w:color w:val="000000"/>
                <w:lang w:val="uk-UA" w:eastAsia="uk-UA"/>
              </w:rPr>
              <w:t>1,0</w:t>
            </w:r>
          </w:p>
        </w:tc>
        <w:tc>
          <w:tcPr>
            <w:tcW w:w="1359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37593">
              <w:rPr>
                <w:rFonts w:ascii="Times New Roman" w:hAnsi="Times New Roman" w:cs="Times New Roman"/>
              </w:rPr>
              <w:t>0,9</w:t>
            </w:r>
            <w:r w:rsidRPr="00C37593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1302" w:type="dxa"/>
            <w:vAlign w:val="center"/>
          </w:tcPr>
          <w:p w:rsidR="00436E1B" w:rsidRPr="00C37593" w:rsidRDefault="00436E1B" w:rsidP="00C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</w:tbl>
    <w:p w:rsidR="00436E1B" w:rsidRDefault="00436E1B" w:rsidP="008C2C00">
      <w:pPr>
        <w:spacing w:after="0" w:line="240" w:lineRule="auto"/>
        <w:rPr>
          <w:lang w:val="uk-UA"/>
        </w:rPr>
      </w:pPr>
      <w:r>
        <w:rPr>
          <w:lang w:val="uk-UA"/>
        </w:rPr>
        <w:t xml:space="preserve">_________________________________    </w:t>
      </w:r>
    </w:p>
    <w:p w:rsidR="00436E1B" w:rsidRPr="00004583" w:rsidRDefault="00436E1B" w:rsidP="008C2C00">
      <w:pPr>
        <w:spacing w:after="0" w:line="240" w:lineRule="auto"/>
        <w:rPr>
          <w:lang w:val="uk-UA"/>
        </w:rPr>
      </w:pPr>
      <w:r w:rsidRPr="00004583">
        <w:rPr>
          <w:rFonts w:ascii="Times New Roman" w:hAnsi="Times New Roman" w:cs="Times New Roman"/>
          <w:color w:val="000000"/>
          <w:lang w:val="uk-UA" w:eastAsia="uk-UA"/>
        </w:rPr>
        <w:t xml:space="preserve">* </w:t>
      </w:r>
      <w:r w:rsidRPr="003174FA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відповідно до рішень Київської міської ради від 15.12.2011 №824/7060 та від 14.05.2015 №463/1327</w:t>
      </w:r>
    </w:p>
    <w:p w:rsidR="00436E1B" w:rsidRPr="00F75698" w:rsidRDefault="00436E1B" w:rsidP="00F75698">
      <w:pPr>
        <w:spacing w:before="120" w:after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F7569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F75698">
        <w:rPr>
          <w:rFonts w:ascii="Times New Roman" w:hAnsi="Times New Roman" w:cs="Times New Roman"/>
          <w:sz w:val="20"/>
          <w:szCs w:val="20"/>
        </w:rPr>
        <w:t xml:space="preserve">  базовий показник на 2013 рік;</w:t>
      </w:r>
    </w:p>
    <w:p w:rsidR="00436E1B" w:rsidRPr="00F75698" w:rsidRDefault="00436E1B" w:rsidP="00F75698">
      <w:pPr>
        <w:spacing w:before="120" w:after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F7569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75698">
        <w:rPr>
          <w:rFonts w:ascii="Times New Roman" w:hAnsi="Times New Roman" w:cs="Times New Roman"/>
          <w:sz w:val="20"/>
          <w:szCs w:val="20"/>
        </w:rPr>
        <w:t xml:space="preserve">  останні наявні дані за 2014 рік;</w:t>
      </w:r>
    </w:p>
    <w:p w:rsidR="00436E1B" w:rsidRPr="00F75698" w:rsidRDefault="00436E1B" w:rsidP="00F75698">
      <w:pPr>
        <w:spacing w:before="120" w:after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F7569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F75698">
        <w:rPr>
          <w:rFonts w:ascii="Times New Roman" w:hAnsi="Times New Roman" w:cs="Times New Roman"/>
          <w:sz w:val="20"/>
          <w:szCs w:val="20"/>
        </w:rPr>
        <w:t xml:space="preserve">  базове значення: постійне населення (поточне) за 2009 рік;</w:t>
      </w:r>
    </w:p>
    <w:p w:rsidR="00436E1B" w:rsidRPr="00F75698" w:rsidRDefault="00436E1B" w:rsidP="00F75698">
      <w:pPr>
        <w:spacing w:before="120" w:after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F75698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F75698">
        <w:rPr>
          <w:rFonts w:ascii="Times New Roman" w:hAnsi="Times New Roman" w:cs="Times New Roman"/>
          <w:sz w:val="20"/>
          <w:szCs w:val="20"/>
        </w:rPr>
        <w:t xml:space="preserve">  за даними Головного управління статистики у м.Києві станом на 01.01.2016 (за оцінкою, дані попередні);</w:t>
      </w:r>
    </w:p>
    <w:p w:rsidR="00436E1B" w:rsidRPr="00F75698" w:rsidRDefault="00436E1B" w:rsidP="00F75698">
      <w:pPr>
        <w:spacing w:before="120" w:after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F75698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F75698">
        <w:rPr>
          <w:rFonts w:ascii="Times New Roman" w:hAnsi="Times New Roman" w:cs="Times New Roman"/>
          <w:sz w:val="20"/>
          <w:szCs w:val="20"/>
        </w:rPr>
        <w:t xml:space="preserve">  за даними Департаменту земельних ресурсів станом на 01.01.2016;</w:t>
      </w:r>
    </w:p>
    <w:p w:rsidR="00436E1B" w:rsidRPr="00F75698" w:rsidRDefault="00436E1B" w:rsidP="00F75698">
      <w:pPr>
        <w:spacing w:before="120" w:after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F75698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F75698">
        <w:rPr>
          <w:rFonts w:ascii="Times New Roman" w:hAnsi="Times New Roman" w:cs="Times New Roman"/>
          <w:sz w:val="20"/>
          <w:szCs w:val="20"/>
        </w:rPr>
        <w:t xml:space="preserve">  враховуючи прогнозований середньорічний дефлятор на період 2010-2025 рр. у 6,1%;</w:t>
      </w:r>
    </w:p>
    <w:p w:rsidR="00436E1B" w:rsidRPr="00F75698" w:rsidRDefault="00436E1B" w:rsidP="00F75698">
      <w:pPr>
        <w:spacing w:before="120" w:after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F75698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F75698">
        <w:rPr>
          <w:rFonts w:ascii="Times New Roman" w:hAnsi="Times New Roman" w:cs="Times New Roman"/>
          <w:sz w:val="20"/>
          <w:szCs w:val="20"/>
        </w:rPr>
        <w:t xml:space="preserve">  дані за січень-вересень 2015 року; </w:t>
      </w:r>
    </w:p>
    <w:p w:rsidR="00436E1B" w:rsidRPr="00F75698" w:rsidRDefault="00436E1B" w:rsidP="00F75698">
      <w:pPr>
        <w:spacing w:before="120" w:after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F75698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F75698">
        <w:rPr>
          <w:rFonts w:ascii="Times New Roman" w:hAnsi="Times New Roman" w:cs="Times New Roman"/>
          <w:sz w:val="20"/>
          <w:szCs w:val="20"/>
        </w:rPr>
        <w:t xml:space="preserve">  розрахунковий показник 2014 року;</w:t>
      </w:r>
    </w:p>
    <w:p w:rsidR="00436E1B" w:rsidRPr="00F75698" w:rsidRDefault="00436E1B" w:rsidP="00F75698">
      <w:pPr>
        <w:spacing w:before="120" w:after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F75698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Pr="00F75698">
        <w:rPr>
          <w:rFonts w:ascii="Times New Roman" w:hAnsi="Times New Roman" w:cs="Times New Roman"/>
          <w:sz w:val="20"/>
          <w:szCs w:val="20"/>
        </w:rPr>
        <w:t xml:space="preserve">  значення показників за 2015 рік; </w:t>
      </w:r>
    </w:p>
    <w:p w:rsidR="00436E1B" w:rsidRPr="00F75698" w:rsidRDefault="00436E1B" w:rsidP="00F75698">
      <w:pPr>
        <w:spacing w:before="120" w:after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F75698">
        <w:rPr>
          <w:rFonts w:ascii="Times New Roman" w:hAnsi="Times New Roman" w:cs="Times New Roman"/>
          <w:sz w:val="20"/>
          <w:szCs w:val="20"/>
          <w:vertAlign w:val="superscript"/>
        </w:rPr>
        <w:t>10</w:t>
      </w:r>
      <w:r w:rsidRPr="00F75698">
        <w:rPr>
          <w:rFonts w:ascii="Times New Roman" w:hAnsi="Times New Roman" w:cs="Times New Roman"/>
          <w:sz w:val="20"/>
          <w:szCs w:val="20"/>
        </w:rPr>
        <w:t xml:space="preserve"> розрахунковий показник 2015 року;</w:t>
      </w:r>
    </w:p>
    <w:p w:rsidR="00436E1B" w:rsidRPr="00F75698" w:rsidRDefault="00436E1B" w:rsidP="00F75698">
      <w:pPr>
        <w:spacing w:before="120" w:after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F75698">
        <w:rPr>
          <w:rFonts w:ascii="Times New Roman" w:hAnsi="Times New Roman" w:cs="Times New Roman"/>
          <w:sz w:val="20"/>
          <w:szCs w:val="20"/>
          <w:vertAlign w:val="superscript"/>
        </w:rPr>
        <w:t>11</w:t>
      </w:r>
      <w:r w:rsidRPr="00F75698">
        <w:rPr>
          <w:rFonts w:ascii="Times New Roman" w:hAnsi="Times New Roman" w:cs="Times New Roman"/>
          <w:sz w:val="20"/>
          <w:szCs w:val="20"/>
        </w:rPr>
        <w:t xml:space="preserve"> попередні дані за січень-грудень 2015 року;</w:t>
      </w:r>
    </w:p>
    <w:p w:rsidR="00436E1B" w:rsidRPr="00F75698" w:rsidRDefault="00436E1B" w:rsidP="00F75698">
      <w:pPr>
        <w:spacing w:before="120" w:after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F75698">
        <w:rPr>
          <w:rFonts w:ascii="Times New Roman" w:hAnsi="Times New Roman" w:cs="Times New Roman"/>
          <w:sz w:val="20"/>
          <w:szCs w:val="20"/>
          <w:vertAlign w:val="superscript"/>
        </w:rPr>
        <w:t>12</w:t>
      </w:r>
      <w:r w:rsidRPr="00F75698">
        <w:rPr>
          <w:rFonts w:ascii="Times New Roman" w:hAnsi="Times New Roman" w:cs="Times New Roman"/>
          <w:sz w:val="20"/>
          <w:szCs w:val="20"/>
        </w:rPr>
        <w:t xml:space="preserve"> протяжність ліній громадського транспорту (автобус + тролейбус + метро + трамвай);</w:t>
      </w:r>
    </w:p>
    <w:p w:rsidR="00436E1B" w:rsidRPr="00F75698" w:rsidRDefault="00436E1B" w:rsidP="00F75698">
      <w:pPr>
        <w:spacing w:before="120" w:after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F75698">
        <w:rPr>
          <w:rFonts w:ascii="Times New Roman" w:hAnsi="Times New Roman" w:cs="Times New Roman"/>
          <w:sz w:val="20"/>
          <w:szCs w:val="20"/>
          <w:vertAlign w:val="superscript"/>
        </w:rPr>
        <w:t>13</w:t>
      </w:r>
      <w:r w:rsidRPr="00F75698">
        <w:rPr>
          <w:rFonts w:ascii="Times New Roman" w:hAnsi="Times New Roman" w:cs="Times New Roman"/>
          <w:sz w:val="20"/>
          <w:szCs w:val="20"/>
        </w:rPr>
        <w:t xml:space="preserve"> з урахуванням лісів, зелених насаджень, водного дзеркала, забудованих промислових територій;</w:t>
      </w:r>
    </w:p>
    <w:p w:rsidR="00436E1B" w:rsidRPr="00F75698" w:rsidRDefault="00436E1B" w:rsidP="00F75698">
      <w:pPr>
        <w:spacing w:before="120" w:after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F75698">
        <w:rPr>
          <w:rFonts w:ascii="Times New Roman" w:hAnsi="Times New Roman" w:cs="Times New Roman"/>
          <w:sz w:val="20"/>
          <w:szCs w:val="20"/>
          <w:vertAlign w:val="superscript"/>
        </w:rPr>
        <w:t>14</w:t>
      </w:r>
      <w:r w:rsidRPr="00F75698">
        <w:rPr>
          <w:rFonts w:ascii="Times New Roman" w:hAnsi="Times New Roman" w:cs="Times New Roman"/>
          <w:sz w:val="20"/>
          <w:szCs w:val="20"/>
        </w:rPr>
        <w:t xml:space="preserve"> за офіційними даними Головного управління національної поліції у м.Києві;</w:t>
      </w:r>
    </w:p>
    <w:p w:rsidR="00436E1B" w:rsidRDefault="00436E1B" w:rsidP="00F75698">
      <w:pPr>
        <w:spacing w:before="120" w:after="0"/>
        <w:ind w:left="425" w:hanging="425"/>
        <w:rPr>
          <w:rFonts w:ascii="Times New Roman" w:hAnsi="Times New Roman" w:cs="Times New Roman"/>
          <w:sz w:val="20"/>
          <w:szCs w:val="20"/>
          <w:lang w:val="uk-UA"/>
        </w:rPr>
      </w:pPr>
      <w:r w:rsidRPr="00F75698">
        <w:rPr>
          <w:rFonts w:ascii="Times New Roman" w:hAnsi="Times New Roman" w:cs="Times New Roman"/>
          <w:sz w:val="20"/>
          <w:szCs w:val="20"/>
          <w:vertAlign w:val="superscript"/>
        </w:rPr>
        <w:t>15</w:t>
      </w:r>
      <w:r w:rsidRPr="00F75698">
        <w:rPr>
          <w:rFonts w:ascii="Times New Roman" w:hAnsi="Times New Roman" w:cs="Times New Roman"/>
          <w:sz w:val="20"/>
          <w:szCs w:val="20"/>
        </w:rPr>
        <w:t xml:space="preserve"> за даними аналітичного центру СМІлінк (Яндекс. Карти);</w:t>
      </w:r>
    </w:p>
    <w:p w:rsidR="00436E1B" w:rsidRPr="003174FA" w:rsidRDefault="00436E1B" w:rsidP="00F75698">
      <w:pPr>
        <w:spacing w:before="120" w:after="0"/>
        <w:ind w:left="425" w:hanging="425"/>
        <w:rPr>
          <w:rFonts w:ascii="Times New Roman" w:hAnsi="Times New Roman" w:cs="Times New Roman"/>
          <w:sz w:val="2"/>
          <w:szCs w:val="2"/>
          <w:lang w:val="uk-UA"/>
        </w:rPr>
      </w:pPr>
    </w:p>
    <w:p w:rsidR="00436E1B" w:rsidRDefault="00436E1B" w:rsidP="005F5FD1">
      <w:pPr>
        <w:spacing w:after="0"/>
        <w:ind w:left="284" w:hanging="284"/>
        <w:rPr>
          <w:rFonts w:ascii="Times New Roman" w:hAnsi="Times New Roman" w:cs="Times New Roman"/>
          <w:sz w:val="20"/>
          <w:szCs w:val="20"/>
          <w:lang w:val="uk-UA"/>
        </w:rPr>
      </w:pPr>
      <w:r w:rsidRPr="00F75698">
        <w:rPr>
          <w:rFonts w:ascii="Times New Roman" w:hAnsi="Times New Roman" w:cs="Times New Roman"/>
          <w:sz w:val="20"/>
          <w:szCs w:val="20"/>
          <w:vertAlign w:val="superscript"/>
        </w:rPr>
        <w:t>16</w:t>
      </w:r>
      <w:r w:rsidRPr="00F75698">
        <w:rPr>
          <w:rFonts w:ascii="Times New Roman" w:hAnsi="Times New Roman" w:cs="Times New Roman"/>
          <w:sz w:val="20"/>
          <w:szCs w:val="20"/>
        </w:rPr>
        <w:t xml:space="preserve"> ведення обліку житлових будинків, що мають амортизаційний знос понад 40%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75698">
        <w:rPr>
          <w:rFonts w:ascii="Times New Roman" w:hAnsi="Times New Roman" w:cs="Times New Roman"/>
          <w:sz w:val="20"/>
          <w:szCs w:val="20"/>
        </w:rPr>
        <w:t xml:space="preserve">не передбачено нормативно-правовими актами. </w:t>
      </w:r>
    </w:p>
    <w:p w:rsidR="00436E1B" w:rsidRPr="00F75698" w:rsidRDefault="00436E1B" w:rsidP="005F5FD1">
      <w:p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F75698">
        <w:rPr>
          <w:rFonts w:ascii="Times New Roman" w:hAnsi="Times New Roman" w:cs="Times New Roman"/>
          <w:sz w:val="20"/>
          <w:szCs w:val="20"/>
        </w:rPr>
        <w:t xml:space="preserve">Доцільно виключити зазначений індикатор зі значень цільових показників; </w:t>
      </w:r>
    </w:p>
    <w:p w:rsidR="00436E1B" w:rsidRDefault="00436E1B" w:rsidP="00F75698">
      <w:pPr>
        <w:spacing w:before="120" w:after="0"/>
        <w:ind w:left="425" w:hanging="425"/>
        <w:rPr>
          <w:rFonts w:ascii="Times New Roman" w:hAnsi="Times New Roman" w:cs="Times New Roman"/>
          <w:sz w:val="20"/>
          <w:szCs w:val="20"/>
          <w:lang w:val="uk-UA"/>
        </w:rPr>
      </w:pPr>
      <w:r w:rsidRPr="00F75698">
        <w:rPr>
          <w:rFonts w:ascii="Times New Roman" w:hAnsi="Times New Roman" w:cs="Times New Roman"/>
          <w:sz w:val="20"/>
          <w:szCs w:val="20"/>
          <w:vertAlign w:val="superscript"/>
        </w:rPr>
        <w:t>17</w:t>
      </w:r>
      <w:r w:rsidRPr="00F75698">
        <w:rPr>
          <w:rFonts w:ascii="Times New Roman" w:hAnsi="Times New Roman" w:cs="Times New Roman"/>
          <w:sz w:val="20"/>
          <w:szCs w:val="20"/>
        </w:rPr>
        <w:t xml:space="preserve"> з них: частка переобладнаних старих та аварійних каналізаційних споруд – 1,5%, </w:t>
      </w:r>
    </w:p>
    <w:p w:rsidR="00436E1B" w:rsidRPr="00F75698" w:rsidRDefault="00436E1B" w:rsidP="005F5FD1">
      <w:pPr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F75698">
        <w:rPr>
          <w:rFonts w:ascii="Times New Roman" w:hAnsi="Times New Roman" w:cs="Times New Roman"/>
          <w:sz w:val="20"/>
          <w:szCs w:val="20"/>
        </w:rPr>
        <w:t xml:space="preserve">частка переобладнання зношеного насосного обладнання каналізаційних насосних станцій – 23,7%; </w:t>
      </w:r>
    </w:p>
    <w:p w:rsidR="00436E1B" w:rsidRPr="00F75698" w:rsidRDefault="00436E1B" w:rsidP="00F75698">
      <w:pPr>
        <w:spacing w:before="120" w:after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F75698">
        <w:rPr>
          <w:rFonts w:ascii="Times New Roman" w:hAnsi="Times New Roman" w:cs="Times New Roman"/>
          <w:sz w:val="20"/>
          <w:szCs w:val="20"/>
          <w:vertAlign w:val="superscript"/>
        </w:rPr>
        <w:t>18</w:t>
      </w:r>
      <w:r w:rsidRPr="00F75698">
        <w:rPr>
          <w:rFonts w:ascii="Times New Roman" w:hAnsi="Times New Roman" w:cs="Times New Roman"/>
          <w:sz w:val="20"/>
          <w:szCs w:val="20"/>
        </w:rPr>
        <w:t xml:space="preserve"> статистичні спостереження відсутні, розрахувати показники неможливо;</w:t>
      </w:r>
    </w:p>
    <w:p w:rsidR="00436E1B" w:rsidRPr="00F75698" w:rsidRDefault="00436E1B" w:rsidP="00F75698">
      <w:pPr>
        <w:spacing w:before="120" w:after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F75698">
        <w:rPr>
          <w:rFonts w:ascii="Times New Roman" w:hAnsi="Times New Roman" w:cs="Times New Roman"/>
          <w:sz w:val="20"/>
          <w:szCs w:val="20"/>
          <w:vertAlign w:val="superscript"/>
        </w:rPr>
        <w:t>19</w:t>
      </w:r>
      <w:r w:rsidRPr="00F75698">
        <w:rPr>
          <w:rFonts w:ascii="Times New Roman" w:hAnsi="Times New Roman" w:cs="Times New Roman"/>
          <w:sz w:val="20"/>
          <w:szCs w:val="20"/>
        </w:rPr>
        <w:t xml:space="preserve"> значущих громадських та приватних галерей за консенсусом експертів галузі;</w:t>
      </w:r>
    </w:p>
    <w:p w:rsidR="00436E1B" w:rsidRPr="00F75698" w:rsidRDefault="00436E1B" w:rsidP="005F5FD1">
      <w:pPr>
        <w:spacing w:before="120" w:after="0"/>
        <w:ind w:left="142" w:hanging="142"/>
        <w:rPr>
          <w:rFonts w:ascii="Times New Roman" w:hAnsi="Times New Roman" w:cs="Times New Roman"/>
          <w:sz w:val="20"/>
          <w:szCs w:val="20"/>
        </w:rPr>
      </w:pPr>
      <w:r w:rsidRPr="00F75698">
        <w:rPr>
          <w:rFonts w:ascii="Times New Roman" w:hAnsi="Times New Roman" w:cs="Times New Roman"/>
          <w:sz w:val="20"/>
          <w:szCs w:val="20"/>
          <w:vertAlign w:val="superscript"/>
        </w:rPr>
        <w:t>20</w:t>
      </w:r>
      <w:r w:rsidRPr="00F75698">
        <w:rPr>
          <w:rFonts w:ascii="Times New Roman" w:hAnsi="Times New Roman" w:cs="Times New Roman"/>
          <w:sz w:val="20"/>
          <w:szCs w:val="20"/>
        </w:rPr>
        <w:t xml:space="preserve"> кількість іноземних туристів (згідно з даними Держприкордонслужби України 927 тис.осіб) та внутрішніх туристів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</w:t>
      </w:r>
      <w:r w:rsidRPr="00F75698">
        <w:rPr>
          <w:rFonts w:ascii="Times New Roman" w:hAnsi="Times New Roman" w:cs="Times New Roman"/>
          <w:sz w:val="20"/>
          <w:szCs w:val="20"/>
        </w:rPr>
        <w:t>(відповідно до статистичного звіту №1-КЗР за 2014 рік 608 тис.осіб);</w:t>
      </w:r>
    </w:p>
    <w:p w:rsidR="00436E1B" w:rsidRPr="00F75698" w:rsidRDefault="00436E1B" w:rsidP="00F75698">
      <w:pPr>
        <w:spacing w:before="120" w:after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F75698">
        <w:rPr>
          <w:rFonts w:ascii="Times New Roman" w:hAnsi="Times New Roman" w:cs="Times New Roman"/>
          <w:sz w:val="20"/>
          <w:szCs w:val="20"/>
          <w:vertAlign w:val="superscript"/>
        </w:rPr>
        <w:t xml:space="preserve">21 </w:t>
      </w:r>
      <w:r w:rsidRPr="00F75698">
        <w:rPr>
          <w:rFonts w:ascii="Times New Roman" w:hAnsi="Times New Roman" w:cs="Times New Roman"/>
          <w:sz w:val="20"/>
          <w:szCs w:val="20"/>
        </w:rPr>
        <w:t xml:space="preserve">відповідно до рейтингу </w:t>
      </w:r>
      <w:hyperlink r:id="rId9" w:history="1">
        <w:r w:rsidRPr="00F75698">
          <w:rPr>
            <w:rFonts w:ascii="Times New Roman" w:hAnsi="Times New Roman" w:cs="Times New Roman"/>
            <w:sz w:val="20"/>
            <w:szCs w:val="20"/>
            <w:lang w:val="uk-UA"/>
          </w:rPr>
          <w:t>Safe Cities Index 2015</w:t>
        </w:r>
      </w:hyperlink>
      <w:r w:rsidRPr="00F75698">
        <w:rPr>
          <w:rFonts w:ascii="Times New Roman" w:hAnsi="Times New Roman" w:cs="Times New Roman"/>
          <w:sz w:val="20"/>
          <w:szCs w:val="20"/>
          <w:lang w:val="uk-UA"/>
        </w:rPr>
        <w:t>, який оприлюднює The Economist Intelligence Unit (EIU)</w:t>
      </w:r>
      <w:r w:rsidRPr="00F75698">
        <w:rPr>
          <w:rFonts w:ascii="Times New Roman" w:hAnsi="Times New Roman" w:cs="Times New Roman"/>
          <w:sz w:val="20"/>
          <w:szCs w:val="20"/>
        </w:rPr>
        <w:t>, Київ не потрапив до 50 великих міст світу;</w:t>
      </w:r>
    </w:p>
    <w:p w:rsidR="00436E1B" w:rsidRPr="00F75698" w:rsidRDefault="00436E1B" w:rsidP="00F75698">
      <w:pPr>
        <w:spacing w:before="120" w:after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F75698">
        <w:rPr>
          <w:rFonts w:ascii="Times New Roman" w:hAnsi="Times New Roman" w:cs="Times New Roman"/>
          <w:sz w:val="20"/>
          <w:szCs w:val="20"/>
          <w:vertAlign w:val="superscript"/>
        </w:rPr>
        <w:t>22</w:t>
      </w:r>
      <w:r w:rsidRPr="00F75698">
        <w:rPr>
          <w:rFonts w:ascii="Times New Roman" w:hAnsi="Times New Roman" w:cs="Times New Roman"/>
          <w:sz w:val="20"/>
          <w:szCs w:val="20"/>
        </w:rPr>
        <w:t xml:space="preserve"> </w:t>
      </w:r>
      <w:r w:rsidRPr="00F75698">
        <w:rPr>
          <w:rFonts w:ascii="Times New Roman" w:hAnsi="Times New Roman" w:cs="Times New Roman"/>
          <w:sz w:val="20"/>
          <w:szCs w:val="20"/>
          <w:lang w:val="uk-UA"/>
        </w:rPr>
        <w:t>за інформацією Київського міського центру зайнятості, робочі місця для осіб без ПММ окремо не резервуються;</w:t>
      </w:r>
    </w:p>
    <w:p w:rsidR="00436E1B" w:rsidRPr="00F75698" w:rsidRDefault="00436E1B" w:rsidP="00F75698">
      <w:pPr>
        <w:spacing w:before="120" w:after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F75698">
        <w:rPr>
          <w:rFonts w:ascii="Times New Roman" w:hAnsi="Times New Roman" w:cs="Times New Roman"/>
          <w:sz w:val="20"/>
          <w:szCs w:val="20"/>
          <w:vertAlign w:val="superscript"/>
        </w:rPr>
        <w:t>23</w:t>
      </w:r>
      <w:r w:rsidRPr="00F75698">
        <w:rPr>
          <w:rFonts w:ascii="Times New Roman" w:hAnsi="Times New Roman" w:cs="Times New Roman"/>
          <w:sz w:val="20"/>
          <w:szCs w:val="20"/>
        </w:rPr>
        <w:t xml:space="preserve"> показник загальної кількості осіб без ПММ не є ст</w:t>
      </w:r>
      <w:r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F75698">
        <w:rPr>
          <w:rFonts w:ascii="Times New Roman" w:hAnsi="Times New Roman" w:cs="Times New Roman"/>
          <w:sz w:val="20"/>
          <w:szCs w:val="20"/>
        </w:rPr>
        <w:t xml:space="preserve">лою величиною та не підлягає обрахуванню; </w:t>
      </w:r>
    </w:p>
    <w:p w:rsidR="00436E1B" w:rsidRPr="00F75698" w:rsidRDefault="00436E1B" w:rsidP="00F75698">
      <w:pPr>
        <w:spacing w:before="120" w:after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F75698">
        <w:rPr>
          <w:rFonts w:ascii="Times New Roman" w:hAnsi="Times New Roman" w:cs="Times New Roman"/>
          <w:sz w:val="20"/>
          <w:szCs w:val="20"/>
          <w:vertAlign w:val="superscript"/>
        </w:rPr>
        <w:t>24</w:t>
      </w:r>
      <w:r w:rsidRPr="00F75698">
        <w:rPr>
          <w:rFonts w:ascii="Times New Roman" w:hAnsi="Times New Roman" w:cs="Times New Roman"/>
          <w:sz w:val="20"/>
          <w:szCs w:val="20"/>
        </w:rPr>
        <w:t xml:space="preserve"> останні </w:t>
      </w:r>
      <w:r w:rsidRPr="00F75698">
        <w:rPr>
          <w:rFonts w:ascii="Times New Roman" w:hAnsi="Times New Roman" w:cs="Times New Roman"/>
          <w:sz w:val="20"/>
          <w:szCs w:val="20"/>
          <w:lang w:val="uk-UA"/>
        </w:rPr>
        <w:t>наявні статистичні дані Державної служби статистики України від 23.12.2015 № 343/0/09.2вн-29-15 «Економічна активність населення за 9 місяців 2015 року»;</w:t>
      </w:r>
    </w:p>
    <w:p w:rsidR="00436E1B" w:rsidRPr="00F75698" w:rsidRDefault="00436E1B" w:rsidP="00F75698">
      <w:pPr>
        <w:spacing w:before="120" w:after="0"/>
        <w:ind w:left="425" w:hanging="425"/>
        <w:rPr>
          <w:rFonts w:ascii="Times New Roman" w:hAnsi="Times New Roman" w:cs="Times New Roman"/>
          <w:sz w:val="8"/>
          <w:szCs w:val="8"/>
        </w:rPr>
      </w:pPr>
      <w:r w:rsidRPr="00F75698">
        <w:rPr>
          <w:rFonts w:ascii="Times New Roman" w:hAnsi="Times New Roman" w:cs="Times New Roman"/>
          <w:sz w:val="20"/>
          <w:szCs w:val="20"/>
          <w:vertAlign w:val="superscript"/>
        </w:rPr>
        <w:t>25</w:t>
      </w:r>
      <w:r w:rsidRPr="00F75698">
        <w:rPr>
          <w:rFonts w:ascii="Times New Roman" w:hAnsi="Times New Roman" w:cs="Times New Roman"/>
          <w:sz w:val="20"/>
          <w:szCs w:val="20"/>
        </w:rPr>
        <w:t xml:space="preserve"> 26,22 грн – за курсом НБУ на 01.01.2016.</w:t>
      </w:r>
    </w:p>
    <w:p w:rsidR="00436E1B" w:rsidRPr="00F75698" w:rsidRDefault="00436E1B" w:rsidP="008C2C00">
      <w:pPr>
        <w:spacing w:after="0" w:line="240" w:lineRule="auto"/>
      </w:pPr>
    </w:p>
    <w:p w:rsidR="00436E1B" w:rsidRPr="00B43899" w:rsidRDefault="00436E1B" w:rsidP="008C2C00">
      <w:pPr>
        <w:spacing w:after="0" w:line="240" w:lineRule="auto"/>
        <w:rPr>
          <w:lang w:val="uk-UA"/>
        </w:rPr>
      </w:pPr>
    </w:p>
    <w:sectPr w:rsidR="00436E1B" w:rsidRPr="00B43899" w:rsidSect="003C6C45">
      <w:footerReference w:type="default" r:id="rId10"/>
      <w:endnotePr>
        <w:numFmt w:val="decimal"/>
      </w:endnotePr>
      <w:pgSz w:w="16838" w:h="11906" w:orient="landscape"/>
      <w:pgMar w:top="1276" w:right="536" w:bottom="709" w:left="1134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E1B" w:rsidRDefault="00436E1B" w:rsidP="00421F66">
      <w:pPr>
        <w:spacing w:after="0" w:line="240" w:lineRule="auto"/>
      </w:pPr>
      <w:r>
        <w:separator/>
      </w:r>
    </w:p>
  </w:endnote>
  <w:endnote w:type="continuationSeparator" w:id="0">
    <w:p w:rsidR="00436E1B" w:rsidRDefault="00436E1B" w:rsidP="0042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E1B" w:rsidRDefault="00436E1B">
    <w:pPr>
      <w:pStyle w:val="Footer"/>
      <w:jc w:val="right"/>
    </w:pPr>
    <w:fldSimple w:instr="PAGE   \* MERGEFORMAT">
      <w:r>
        <w:rPr>
          <w:noProof/>
        </w:rPr>
        <w:t>35</w:t>
      </w:r>
    </w:fldSimple>
  </w:p>
  <w:p w:rsidR="00436E1B" w:rsidRDefault="00436E1B">
    <w:pPr>
      <w:pStyle w:val="Footer"/>
    </w:pPr>
  </w:p>
  <w:p w:rsidR="00436E1B" w:rsidRDefault="00436E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E1B" w:rsidRDefault="00436E1B" w:rsidP="00421F66">
      <w:pPr>
        <w:spacing w:after="0" w:line="240" w:lineRule="auto"/>
      </w:pPr>
      <w:r>
        <w:separator/>
      </w:r>
    </w:p>
  </w:footnote>
  <w:footnote w:type="continuationSeparator" w:id="0">
    <w:p w:rsidR="00436E1B" w:rsidRDefault="00436E1B" w:rsidP="00421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F66"/>
    <w:rsid w:val="00004583"/>
    <w:rsid w:val="00017028"/>
    <w:rsid w:val="000448B8"/>
    <w:rsid w:val="000811DB"/>
    <w:rsid w:val="000908C3"/>
    <w:rsid w:val="00093441"/>
    <w:rsid w:val="00093D69"/>
    <w:rsid w:val="000A0D65"/>
    <w:rsid w:val="000A1DFA"/>
    <w:rsid w:val="000F0BA9"/>
    <w:rsid w:val="00117440"/>
    <w:rsid w:val="00121FF9"/>
    <w:rsid w:val="001D5D6B"/>
    <w:rsid w:val="00237E3D"/>
    <w:rsid w:val="0026647C"/>
    <w:rsid w:val="00280C6D"/>
    <w:rsid w:val="0028331E"/>
    <w:rsid w:val="00285617"/>
    <w:rsid w:val="002B0670"/>
    <w:rsid w:val="002C6286"/>
    <w:rsid w:val="002E6C8E"/>
    <w:rsid w:val="002F01A9"/>
    <w:rsid w:val="002F07B7"/>
    <w:rsid w:val="00311849"/>
    <w:rsid w:val="003174FA"/>
    <w:rsid w:val="003264D8"/>
    <w:rsid w:val="0033396D"/>
    <w:rsid w:val="00335D9D"/>
    <w:rsid w:val="003854E0"/>
    <w:rsid w:val="003911A5"/>
    <w:rsid w:val="003B6B61"/>
    <w:rsid w:val="003C6C45"/>
    <w:rsid w:val="003D158D"/>
    <w:rsid w:val="003E7E3E"/>
    <w:rsid w:val="003F581B"/>
    <w:rsid w:val="004043FC"/>
    <w:rsid w:val="00413494"/>
    <w:rsid w:val="00416D51"/>
    <w:rsid w:val="00417A18"/>
    <w:rsid w:val="00421F66"/>
    <w:rsid w:val="00424628"/>
    <w:rsid w:val="00431B2F"/>
    <w:rsid w:val="00436E1B"/>
    <w:rsid w:val="00444D86"/>
    <w:rsid w:val="00461023"/>
    <w:rsid w:val="00470234"/>
    <w:rsid w:val="0047181F"/>
    <w:rsid w:val="004F5FBD"/>
    <w:rsid w:val="00510730"/>
    <w:rsid w:val="00512F6C"/>
    <w:rsid w:val="005248A8"/>
    <w:rsid w:val="00526425"/>
    <w:rsid w:val="00526A56"/>
    <w:rsid w:val="005575C5"/>
    <w:rsid w:val="00565474"/>
    <w:rsid w:val="005745BD"/>
    <w:rsid w:val="005777D0"/>
    <w:rsid w:val="005877F9"/>
    <w:rsid w:val="005B313D"/>
    <w:rsid w:val="005D2AAB"/>
    <w:rsid w:val="005D3CAD"/>
    <w:rsid w:val="005E06AC"/>
    <w:rsid w:val="005E4216"/>
    <w:rsid w:val="005F290A"/>
    <w:rsid w:val="005F5FD1"/>
    <w:rsid w:val="00602A2F"/>
    <w:rsid w:val="00626023"/>
    <w:rsid w:val="00644AD3"/>
    <w:rsid w:val="0066407A"/>
    <w:rsid w:val="00692AC5"/>
    <w:rsid w:val="006941A0"/>
    <w:rsid w:val="006A2DE8"/>
    <w:rsid w:val="006A3026"/>
    <w:rsid w:val="006A43FC"/>
    <w:rsid w:val="006C4E1D"/>
    <w:rsid w:val="006D30D9"/>
    <w:rsid w:val="006F616C"/>
    <w:rsid w:val="00704E0A"/>
    <w:rsid w:val="00711EDE"/>
    <w:rsid w:val="007219B8"/>
    <w:rsid w:val="0073675C"/>
    <w:rsid w:val="00760F05"/>
    <w:rsid w:val="00794C82"/>
    <w:rsid w:val="007A7BAB"/>
    <w:rsid w:val="007B3410"/>
    <w:rsid w:val="007C2CB0"/>
    <w:rsid w:val="007F3689"/>
    <w:rsid w:val="008302E6"/>
    <w:rsid w:val="0083788A"/>
    <w:rsid w:val="008445B7"/>
    <w:rsid w:val="00845065"/>
    <w:rsid w:val="00870C4D"/>
    <w:rsid w:val="0087302A"/>
    <w:rsid w:val="008827F9"/>
    <w:rsid w:val="008B1370"/>
    <w:rsid w:val="008B3436"/>
    <w:rsid w:val="008B364B"/>
    <w:rsid w:val="008C2C00"/>
    <w:rsid w:val="00902765"/>
    <w:rsid w:val="00917E6F"/>
    <w:rsid w:val="009262CC"/>
    <w:rsid w:val="0093674C"/>
    <w:rsid w:val="00940A08"/>
    <w:rsid w:val="00942452"/>
    <w:rsid w:val="0094787F"/>
    <w:rsid w:val="00952631"/>
    <w:rsid w:val="00956809"/>
    <w:rsid w:val="00957D5D"/>
    <w:rsid w:val="009C08A5"/>
    <w:rsid w:val="009E58A0"/>
    <w:rsid w:val="00A25BD0"/>
    <w:rsid w:val="00A36B9C"/>
    <w:rsid w:val="00A405ED"/>
    <w:rsid w:val="00A5503A"/>
    <w:rsid w:val="00A85506"/>
    <w:rsid w:val="00A8564E"/>
    <w:rsid w:val="00A86BCF"/>
    <w:rsid w:val="00A9301F"/>
    <w:rsid w:val="00B01953"/>
    <w:rsid w:val="00B15344"/>
    <w:rsid w:val="00B31D7E"/>
    <w:rsid w:val="00B43899"/>
    <w:rsid w:val="00BA16A2"/>
    <w:rsid w:val="00BA2B94"/>
    <w:rsid w:val="00BB490A"/>
    <w:rsid w:val="00BC1E01"/>
    <w:rsid w:val="00BD30BE"/>
    <w:rsid w:val="00BF3F68"/>
    <w:rsid w:val="00C24350"/>
    <w:rsid w:val="00C37593"/>
    <w:rsid w:val="00C47116"/>
    <w:rsid w:val="00C50070"/>
    <w:rsid w:val="00C85DE3"/>
    <w:rsid w:val="00CA6046"/>
    <w:rsid w:val="00D33AA0"/>
    <w:rsid w:val="00D37406"/>
    <w:rsid w:val="00D42B5A"/>
    <w:rsid w:val="00D52A6D"/>
    <w:rsid w:val="00D547D2"/>
    <w:rsid w:val="00D71C6A"/>
    <w:rsid w:val="00D71D21"/>
    <w:rsid w:val="00D83B36"/>
    <w:rsid w:val="00DA1D4C"/>
    <w:rsid w:val="00DA5DDD"/>
    <w:rsid w:val="00DD4275"/>
    <w:rsid w:val="00DD65F3"/>
    <w:rsid w:val="00DF38C3"/>
    <w:rsid w:val="00DF404F"/>
    <w:rsid w:val="00DF613D"/>
    <w:rsid w:val="00E51ABA"/>
    <w:rsid w:val="00E87AB3"/>
    <w:rsid w:val="00EA7A91"/>
    <w:rsid w:val="00EB1373"/>
    <w:rsid w:val="00EC37C9"/>
    <w:rsid w:val="00EC4B45"/>
    <w:rsid w:val="00ED370A"/>
    <w:rsid w:val="00F03C64"/>
    <w:rsid w:val="00F14534"/>
    <w:rsid w:val="00F37BC8"/>
    <w:rsid w:val="00F4508C"/>
    <w:rsid w:val="00F45231"/>
    <w:rsid w:val="00F75698"/>
    <w:rsid w:val="00F939C6"/>
    <w:rsid w:val="00FB3190"/>
    <w:rsid w:val="00FB67E4"/>
    <w:rsid w:val="00FE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F9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1F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2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F6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421F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21F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21F66"/>
    <w:rPr>
      <w:vertAlign w:val="superscript"/>
    </w:rPr>
  </w:style>
  <w:style w:type="character" w:styleId="Hyperlink">
    <w:name w:val="Hyperlink"/>
    <w:basedOn w:val="DefaultParagraphFont"/>
    <w:uiPriority w:val="99"/>
    <w:semiHidden/>
    <w:rsid w:val="00C47116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EB137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B137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B1373"/>
    <w:rPr>
      <w:vertAlign w:val="superscript"/>
    </w:rPr>
  </w:style>
  <w:style w:type="paragraph" w:styleId="ListParagraph">
    <w:name w:val="List Paragraph"/>
    <w:basedOn w:val="Normal"/>
    <w:uiPriority w:val="99"/>
    <w:qFormat/>
    <w:rsid w:val="008B1370"/>
    <w:pPr>
      <w:ind w:left="720"/>
    </w:pPr>
  </w:style>
  <w:style w:type="paragraph" w:styleId="NormalWeb">
    <w:name w:val="Normal (Web)"/>
    <w:basedOn w:val="Normal"/>
    <w:uiPriority w:val="99"/>
    <w:rsid w:val="0052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eader">
    <w:name w:val="header"/>
    <w:basedOn w:val="Normal"/>
    <w:link w:val="HeaderChar"/>
    <w:uiPriority w:val="99"/>
    <w:rsid w:val="00C85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5DE3"/>
  </w:style>
  <w:style w:type="paragraph" w:styleId="Footer">
    <w:name w:val="footer"/>
    <w:basedOn w:val="Normal"/>
    <w:link w:val="FooterChar"/>
    <w:uiPriority w:val="99"/>
    <w:rsid w:val="00C85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5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Newswee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safecities.economist.com/wp-content/uploads/2015/01/EIU_Safe_Cities_Index_2015_white_paper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1512</Words>
  <Characters>8622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А.І. Третьякова</dc:creator>
  <cp:keywords/>
  <dc:description/>
  <cp:lastModifiedBy>Sergey</cp:lastModifiedBy>
  <cp:revision>2</cp:revision>
  <cp:lastPrinted>2016-02-25T13:02:00Z</cp:lastPrinted>
  <dcterms:created xsi:type="dcterms:W3CDTF">2016-03-15T15:03:00Z</dcterms:created>
  <dcterms:modified xsi:type="dcterms:W3CDTF">2016-03-15T15:03:00Z</dcterms:modified>
</cp:coreProperties>
</file>